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9540"/>
      </w:tblGrid>
      <w:tr w:rsidR="006E1631" w:rsidRPr="006E1631" w:rsidTr="002E279B">
        <w:trPr>
          <w:tblCellSpacing w:w="0" w:type="dxa"/>
        </w:trPr>
        <w:tc>
          <w:tcPr>
            <w:tcW w:w="10815" w:type="dxa"/>
            <w:gridSpan w:val="2"/>
            <w:tcBorders>
              <w:top w:val="outset" w:sz="6" w:space="0" w:color="D0D7E5"/>
              <w:left w:val="outset" w:sz="6" w:space="0" w:color="D0D7E5"/>
              <w:bottom w:val="outset" w:sz="6" w:space="0" w:color="D0D7E5"/>
              <w:right w:val="outset" w:sz="6" w:space="0" w:color="D0D7E5"/>
            </w:tcBorders>
            <w:shd w:val="clear" w:color="auto" w:fill="808080" w:themeFill="background1" w:themeFillShade="80"/>
          </w:tcPr>
          <w:p w:rsidR="006E1631" w:rsidRPr="006E1631" w:rsidRDefault="006E1631" w:rsidP="006E1631">
            <w:pPr>
              <w:spacing w:after="0" w:line="240" w:lineRule="auto"/>
              <w:jc w:val="center"/>
              <w:rPr>
                <w:rFonts w:ascii="Calibri" w:eastAsia="Times New Roman" w:hAnsi="Calibri" w:cs="Calibri"/>
                <w:b/>
                <w:color w:val="FFFFFF" w:themeColor="background1"/>
                <w:sz w:val="28"/>
                <w:szCs w:val="28"/>
              </w:rPr>
            </w:pPr>
            <w:r w:rsidRPr="006E1631">
              <w:rPr>
                <w:rFonts w:ascii="Calibri" w:eastAsia="Times New Roman" w:hAnsi="Calibri" w:cs="Calibri"/>
                <w:b/>
                <w:color w:val="FFFFFF" w:themeColor="background1"/>
                <w:sz w:val="28"/>
                <w:szCs w:val="28"/>
              </w:rPr>
              <w:t>HS Indicators</w:t>
            </w:r>
          </w:p>
          <w:p w:rsidR="006E1631" w:rsidRPr="006E1631" w:rsidRDefault="006E1631" w:rsidP="006E1631">
            <w:pPr>
              <w:spacing w:after="0" w:line="240" w:lineRule="auto"/>
              <w:jc w:val="center"/>
              <w:rPr>
                <w:rFonts w:ascii="Calibri" w:eastAsia="Times New Roman" w:hAnsi="Calibri" w:cs="Calibri"/>
                <w:color w:val="000000"/>
              </w:rPr>
            </w:pP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6E1631">
            <w:pPr>
              <w:spacing w:after="0" w:line="240" w:lineRule="auto"/>
              <w:jc w:val="center"/>
              <w:rPr>
                <w:rFonts w:ascii="Calibri" w:eastAsia="Times New Roman" w:hAnsi="Calibri" w:cs="Calibri"/>
                <w:b/>
                <w:color w:val="000000"/>
              </w:rPr>
            </w:pPr>
            <w:r w:rsidRPr="006E1631">
              <w:rPr>
                <w:rFonts w:ascii="Calibri" w:eastAsia="Times New Roman" w:hAnsi="Calibri" w:cs="Calibri"/>
                <w:b/>
                <w:color w:val="000000"/>
              </w:rPr>
              <w:t>Indicator ID</w:t>
            </w:r>
          </w:p>
        </w:tc>
        <w:tc>
          <w:tcPr>
            <w:tcW w:w="9540"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6E1631">
            <w:pPr>
              <w:spacing w:after="0" w:line="240" w:lineRule="auto"/>
              <w:jc w:val="center"/>
              <w:rPr>
                <w:rFonts w:ascii="Calibri" w:eastAsia="Times New Roman" w:hAnsi="Calibri" w:cs="Calibri"/>
                <w:b/>
                <w:color w:val="000000"/>
              </w:rPr>
            </w:pPr>
            <w:r w:rsidRPr="006E1631">
              <w:rPr>
                <w:rFonts w:ascii="Calibri" w:eastAsia="Times New Roman" w:hAnsi="Calibri" w:cs="Calibri"/>
                <w:b/>
                <w:color w:val="000000"/>
              </w:rPr>
              <w:t>Team Structure</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2354</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Leadership Team regularly examines individual and collective student data (e.g., course grades and completion, overall grade point average, attendance rates, behavior referrals, suspensions, end-of-course exams, state exam results) to identify areas for improvement across all content areas and throughout the school.</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2355</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Leadership Team monitors rates of student transfer, dropout, graduation, and post-high school outcome (e.g., student enrollment in college, students in careers) using a longitudinal data system.</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2356</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Leadership Team implements, monitors, and analyzes results from an early warning system at the school level using indicators (e.g., attendance, academic, behavior monitoring) to identify students at risk for dropping out of high school.</w:t>
            </w:r>
          </w:p>
        </w:tc>
        <w:bookmarkStart w:id="0" w:name="_GoBack"/>
        <w:bookmarkEnd w:id="0"/>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6E1631">
            <w:pPr>
              <w:spacing w:after="0" w:line="240" w:lineRule="auto"/>
              <w:jc w:val="center"/>
              <w:rPr>
                <w:rFonts w:ascii="Calibri" w:eastAsia="Times New Roman" w:hAnsi="Calibri" w:cs="Calibri"/>
                <w:b/>
                <w:color w:val="000000"/>
              </w:rPr>
            </w:pPr>
          </w:p>
        </w:tc>
        <w:tc>
          <w:tcPr>
            <w:tcW w:w="9540"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6E1631">
            <w:pPr>
              <w:spacing w:after="0" w:line="240" w:lineRule="auto"/>
              <w:jc w:val="center"/>
              <w:rPr>
                <w:rFonts w:ascii="Calibri" w:eastAsia="Times New Roman" w:hAnsi="Calibri" w:cs="Calibri"/>
                <w:b/>
                <w:color w:val="000000"/>
              </w:rPr>
            </w:pPr>
            <w:r>
              <w:rPr>
                <w:rFonts w:ascii="Calibri" w:eastAsia="Times New Roman" w:hAnsi="Calibri" w:cs="Calibri"/>
                <w:b/>
                <w:color w:val="000000"/>
              </w:rPr>
              <w:t>Principal’s Role</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2357</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traditional roles of the principal and other administrators (e.g., management, discipline, security) are distributed to allow adequate time for administrative attention to instruction and student supports.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6E1631">
            <w:pPr>
              <w:spacing w:after="0" w:line="240" w:lineRule="auto"/>
              <w:jc w:val="center"/>
              <w:rPr>
                <w:rFonts w:ascii="Calibri" w:eastAsia="Times New Roman" w:hAnsi="Calibri" w:cs="Calibri"/>
                <w:b/>
                <w:color w:val="000000"/>
              </w:rPr>
            </w:pPr>
          </w:p>
        </w:tc>
        <w:tc>
          <w:tcPr>
            <w:tcW w:w="9540"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Default="006E1631" w:rsidP="006E1631">
            <w:pPr>
              <w:spacing w:after="0" w:line="240" w:lineRule="auto"/>
              <w:jc w:val="center"/>
              <w:rPr>
                <w:rFonts w:ascii="Calibri" w:eastAsia="Times New Roman" w:hAnsi="Calibri" w:cs="Calibri"/>
                <w:b/>
                <w:color w:val="000000"/>
              </w:rPr>
            </w:pPr>
            <w:r>
              <w:rPr>
                <w:rFonts w:ascii="Calibri" w:eastAsia="Times New Roman" w:hAnsi="Calibri" w:cs="Calibri"/>
                <w:b/>
                <w:color w:val="000000"/>
              </w:rPr>
              <w:t>Opportunity to Learn</w:t>
            </w:r>
          </w:p>
          <w:p w:rsidR="006E1631" w:rsidRPr="006E1631" w:rsidRDefault="006E1631" w:rsidP="006E1631">
            <w:pPr>
              <w:spacing w:after="0" w:line="240" w:lineRule="auto"/>
              <w:jc w:val="center"/>
              <w:rPr>
                <w:rFonts w:ascii="Calibri" w:eastAsia="Times New Roman" w:hAnsi="Calibri" w:cs="Calibri"/>
                <w:b/>
                <w:i/>
                <w:color w:val="000000"/>
              </w:rPr>
            </w:pPr>
            <w:r w:rsidRPr="006E1631">
              <w:rPr>
                <w:rFonts w:ascii="Calibri" w:eastAsia="Times New Roman" w:hAnsi="Calibri" w:cs="Calibri"/>
                <w:b/>
                <w:i/>
                <w:color w:val="000000"/>
              </w:rPr>
              <w:t>Content Mastery and Graduation</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2358</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 xml:space="preserve">The school confirms that a student has mastered prerequisite content knowledge before allowing the student to take higher-level courses. </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2359</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All students demonstrating prerequisite content mastery are given access to higher-level courses.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2360</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curriculum and schedule provide pathways for all students to acquire missing content knowledge.</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2361</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academic supports (e.g., tutoring, co-curricular activities, tiered interventions) to keep them on track for graduation.</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2362</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extended learning opportunities (e.g., summer bridge programs, after-school and supplemental educational services, Saturday academies, enrichment programs) to keep them on track for graduation.</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2363</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opportunities for content and credit recovery that are integrated into the regular school day to keep them on track for graduation.</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5362DB">
            <w:pPr>
              <w:spacing w:after="0" w:line="240" w:lineRule="auto"/>
              <w:jc w:val="center"/>
              <w:rPr>
                <w:rFonts w:ascii="Calibri" w:eastAsia="Times New Roman" w:hAnsi="Calibri" w:cs="Calibri"/>
                <w:b/>
                <w:color w:val="000000"/>
              </w:rPr>
            </w:pPr>
          </w:p>
        </w:tc>
        <w:tc>
          <w:tcPr>
            <w:tcW w:w="9540"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Default="006E1631" w:rsidP="005362DB">
            <w:pPr>
              <w:spacing w:after="0" w:line="240" w:lineRule="auto"/>
              <w:jc w:val="center"/>
              <w:rPr>
                <w:rFonts w:ascii="Calibri" w:eastAsia="Times New Roman" w:hAnsi="Calibri" w:cs="Calibri"/>
                <w:b/>
                <w:color w:val="000000"/>
              </w:rPr>
            </w:pPr>
            <w:r>
              <w:rPr>
                <w:rFonts w:ascii="Calibri" w:eastAsia="Times New Roman" w:hAnsi="Calibri" w:cs="Calibri"/>
                <w:b/>
                <w:color w:val="000000"/>
              </w:rPr>
              <w:t>Opportunity to Learn</w:t>
            </w:r>
          </w:p>
          <w:p w:rsidR="006E1631" w:rsidRPr="006E1631" w:rsidRDefault="006E1631" w:rsidP="005362DB">
            <w:pPr>
              <w:spacing w:after="0" w:line="240" w:lineRule="auto"/>
              <w:jc w:val="center"/>
              <w:rPr>
                <w:rFonts w:ascii="Calibri" w:eastAsia="Times New Roman" w:hAnsi="Calibri" w:cs="Calibri"/>
                <w:b/>
                <w:i/>
                <w:color w:val="000000"/>
              </w:rPr>
            </w:pPr>
            <w:r>
              <w:rPr>
                <w:rFonts w:ascii="Calibri" w:eastAsia="Times New Roman" w:hAnsi="Calibri" w:cs="Calibri"/>
                <w:b/>
                <w:i/>
                <w:color w:val="000000"/>
              </w:rPr>
              <w:t>Post-Secondary School Options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2364</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Guidance counselors provide all students with feedback and reports on their assessment results (academic, aptitude, interest) to facilitate student-driven decisions about their own work and college and career goals.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2365</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opportunities to enroll in and master rigorous coursework for college and career readiness.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2366</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academic supports (e.g., supplemental interventions) when needed to enable them to succeed in rigorous courses designed for college and career readiness.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2367</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supports and guidance to prepare them for college and careers (e.g., career awareness activities, career exploration, college visits, advising).</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2368</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All teachers integrate college and career guidance and supports relevant to their subject areas into their taught curricula.</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2369</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 xml:space="preserve">The school routinely provides all students with information and experience in a variety of career </w:t>
            </w:r>
            <w:r w:rsidRPr="006E1631">
              <w:rPr>
                <w:rFonts w:ascii="Calibri" w:eastAsia="Times New Roman" w:hAnsi="Calibri" w:cs="Calibri"/>
                <w:color w:val="000000"/>
              </w:rPr>
              <w:lastRenderedPageBreak/>
              <w:t>pathways.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lastRenderedPageBreak/>
              <w:t>2370</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access to relevant data to make decisions about their course of study as they progress toward their college and career goals.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2371</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information, guidance, and support to secure financial assistance and scholarships for college or other post-secondary education.</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5362DB">
            <w:pPr>
              <w:spacing w:after="0" w:line="240" w:lineRule="auto"/>
              <w:jc w:val="center"/>
              <w:rPr>
                <w:rFonts w:ascii="Calibri" w:eastAsia="Times New Roman" w:hAnsi="Calibri" w:cs="Calibri"/>
                <w:b/>
                <w:color w:val="000000"/>
              </w:rPr>
            </w:pPr>
          </w:p>
        </w:tc>
        <w:tc>
          <w:tcPr>
            <w:tcW w:w="9540"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Default="006E1631" w:rsidP="005362DB">
            <w:pPr>
              <w:spacing w:after="0" w:line="240" w:lineRule="auto"/>
              <w:jc w:val="center"/>
              <w:rPr>
                <w:rFonts w:ascii="Calibri" w:eastAsia="Times New Roman" w:hAnsi="Calibri" w:cs="Calibri"/>
                <w:b/>
                <w:color w:val="000000"/>
              </w:rPr>
            </w:pPr>
            <w:r>
              <w:rPr>
                <w:rFonts w:ascii="Calibri" w:eastAsia="Times New Roman" w:hAnsi="Calibri" w:cs="Calibri"/>
                <w:b/>
                <w:color w:val="000000"/>
              </w:rPr>
              <w:t>Opportunity to Learn</w:t>
            </w:r>
          </w:p>
          <w:p w:rsidR="006E1631" w:rsidRPr="006E1631" w:rsidRDefault="006E1631" w:rsidP="005362DB">
            <w:pPr>
              <w:spacing w:after="0" w:line="240" w:lineRule="auto"/>
              <w:jc w:val="center"/>
              <w:rPr>
                <w:rFonts w:ascii="Calibri" w:eastAsia="Times New Roman" w:hAnsi="Calibri" w:cs="Calibri"/>
                <w:b/>
                <w:i/>
                <w:color w:val="000000"/>
              </w:rPr>
            </w:pPr>
            <w:r>
              <w:rPr>
                <w:rFonts w:ascii="Calibri" w:eastAsia="Times New Roman" w:hAnsi="Calibri" w:cs="Calibri"/>
                <w:b/>
                <w:i/>
                <w:color w:val="000000"/>
              </w:rPr>
              <w:t>Extended Learning Opportunities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2372</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expects all students to participate in activities to develop skills outside of the classroom (e.g., service learning, athletics, enrichment, internships).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2373</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 xml:space="preserve">The school provides all students with opportunities to learn through nontraditional educational settings (e.g., virtual courses, dual enrollment, service learning, </w:t>
            </w:r>
            <w:proofErr w:type="gramStart"/>
            <w:r w:rsidRPr="006E1631">
              <w:rPr>
                <w:rFonts w:ascii="Calibri" w:eastAsia="Times New Roman" w:hAnsi="Calibri" w:cs="Calibri"/>
                <w:color w:val="000000"/>
              </w:rPr>
              <w:t>work</w:t>
            </w:r>
            <w:proofErr w:type="gramEnd"/>
            <w:r w:rsidRPr="006E1631">
              <w:rPr>
                <w:rFonts w:ascii="Calibri" w:eastAsia="Times New Roman" w:hAnsi="Calibri" w:cs="Calibri"/>
                <w:color w:val="000000"/>
              </w:rPr>
              <w:t>-based internships).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2374</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all students with formal supports and a network of contacts with school personnel, community members, and workplace personnel to ensure the social capital necessary to make informed life decisions.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Pr="006E1631" w:rsidRDefault="006E1631" w:rsidP="005362DB">
            <w:pPr>
              <w:spacing w:after="0" w:line="240" w:lineRule="auto"/>
              <w:jc w:val="center"/>
              <w:rPr>
                <w:rFonts w:ascii="Calibri" w:eastAsia="Times New Roman" w:hAnsi="Calibri" w:cs="Calibri"/>
                <w:b/>
                <w:color w:val="000000"/>
              </w:rPr>
            </w:pPr>
          </w:p>
        </w:tc>
        <w:tc>
          <w:tcPr>
            <w:tcW w:w="9540" w:type="dxa"/>
            <w:tcBorders>
              <w:top w:val="outset" w:sz="6" w:space="0" w:color="D0D7E5"/>
              <w:left w:val="outset" w:sz="6" w:space="0" w:color="D0D7E5"/>
              <w:bottom w:val="outset" w:sz="6" w:space="0" w:color="D0D7E5"/>
              <w:right w:val="outset" w:sz="6" w:space="0" w:color="D0D7E5"/>
            </w:tcBorders>
            <w:shd w:val="clear" w:color="auto" w:fill="BFBFBF" w:themeFill="background1" w:themeFillShade="BF"/>
          </w:tcPr>
          <w:p w:rsidR="006E1631" w:rsidRDefault="006E1631" w:rsidP="005362DB">
            <w:pPr>
              <w:spacing w:after="0" w:line="240" w:lineRule="auto"/>
              <w:jc w:val="center"/>
              <w:rPr>
                <w:rFonts w:ascii="Calibri" w:eastAsia="Times New Roman" w:hAnsi="Calibri" w:cs="Calibri"/>
                <w:b/>
                <w:color w:val="000000"/>
              </w:rPr>
            </w:pPr>
            <w:r>
              <w:rPr>
                <w:rFonts w:ascii="Calibri" w:eastAsia="Times New Roman" w:hAnsi="Calibri" w:cs="Calibri"/>
                <w:b/>
                <w:color w:val="000000"/>
              </w:rPr>
              <w:t>Opportunity to Learn</w:t>
            </w:r>
          </w:p>
          <w:p w:rsidR="006E1631" w:rsidRPr="006E1631" w:rsidRDefault="006E1631" w:rsidP="005362DB">
            <w:pPr>
              <w:spacing w:after="0" w:line="240" w:lineRule="auto"/>
              <w:jc w:val="center"/>
              <w:rPr>
                <w:rFonts w:ascii="Calibri" w:eastAsia="Times New Roman" w:hAnsi="Calibri" w:cs="Calibri"/>
                <w:b/>
                <w:i/>
                <w:color w:val="000000"/>
              </w:rPr>
            </w:pPr>
            <w:r>
              <w:rPr>
                <w:rFonts w:ascii="Calibri" w:eastAsia="Times New Roman" w:hAnsi="Calibri" w:cs="Calibri"/>
                <w:b/>
                <w:i/>
                <w:color w:val="000000"/>
              </w:rPr>
              <w:t>Transitions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2375</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freshman students with formal supports as they make the transition to high school (e.g., summer bridge programs, freshman academies).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2376</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provides senior students with formal supports as they make the transition out of high school (e.g., college and career planning, job fairs).</w:t>
            </w:r>
          </w:p>
        </w:tc>
      </w:tr>
      <w:tr w:rsidR="006E1631" w:rsidRPr="006E1631" w:rsidTr="002E279B">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jc w:val="right"/>
              <w:rPr>
                <w:rFonts w:ascii="Times New Roman" w:eastAsia="Times New Roman" w:hAnsi="Times New Roman" w:cs="Times New Roman"/>
                <w:sz w:val="24"/>
                <w:szCs w:val="24"/>
              </w:rPr>
            </w:pPr>
            <w:r w:rsidRPr="006E1631">
              <w:rPr>
                <w:rFonts w:ascii="Calibri" w:eastAsia="Times New Roman" w:hAnsi="Calibri" w:cs="Calibri"/>
                <w:color w:val="000000"/>
              </w:rPr>
              <w:t>2377</w:t>
            </w:r>
          </w:p>
        </w:tc>
        <w:tc>
          <w:tcPr>
            <w:tcW w:w="9540" w:type="dxa"/>
            <w:tcBorders>
              <w:top w:val="outset" w:sz="6" w:space="0" w:color="D0D7E5"/>
              <w:left w:val="outset" w:sz="6" w:space="0" w:color="D0D7E5"/>
              <w:bottom w:val="outset" w:sz="6" w:space="0" w:color="D0D7E5"/>
              <w:right w:val="outset" w:sz="6" w:space="0" w:color="D0D7E5"/>
            </w:tcBorders>
            <w:shd w:val="clear" w:color="auto" w:fill="FFFFFF"/>
            <w:hideMark/>
          </w:tcPr>
          <w:p w:rsidR="006E1631" w:rsidRPr="006E1631" w:rsidRDefault="006E1631" w:rsidP="006E1631">
            <w:pPr>
              <w:spacing w:after="0" w:line="240" w:lineRule="auto"/>
              <w:rPr>
                <w:rFonts w:ascii="Times New Roman" w:eastAsia="Times New Roman" w:hAnsi="Times New Roman" w:cs="Times New Roman"/>
                <w:sz w:val="24"/>
                <w:szCs w:val="24"/>
              </w:rPr>
            </w:pPr>
            <w:r w:rsidRPr="006E1631">
              <w:rPr>
                <w:rFonts w:ascii="Calibri" w:eastAsia="Times New Roman" w:hAnsi="Calibri" w:cs="Calibri"/>
                <w:color w:val="000000"/>
              </w:rPr>
              <w:t>The school tracks the post-secondary school placements and experiences of their graduates and reports the results to the school board, faculty, and school community.</w:t>
            </w:r>
          </w:p>
        </w:tc>
      </w:tr>
    </w:tbl>
    <w:p w:rsidR="002101F5" w:rsidRDefault="002E279B"/>
    <w:sectPr w:rsidR="002101F5" w:rsidSect="006E163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9B" w:rsidRDefault="002E279B" w:rsidP="002E279B">
      <w:pPr>
        <w:spacing w:after="0" w:line="240" w:lineRule="auto"/>
      </w:pPr>
      <w:r>
        <w:separator/>
      </w:r>
    </w:p>
  </w:endnote>
  <w:endnote w:type="continuationSeparator" w:id="0">
    <w:p w:rsidR="002E279B" w:rsidRDefault="002E279B" w:rsidP="002E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9B" w:rsidRDefault="002E279B" w:rsidP="002E279B">
      <w:pPr>
        <w:spacing w:after="0" w:line="240" w:lineRule="auto"/>
      </w:pPr>
      <w:r>
        <w:separator/>
      </w:r>
    </w:p>
  </w:footnote>
  <w:footnote w:type="continuationSeparator" w:id="0">
    <w:p w:rsidR="002E279B" w:rsidRDefault="002E279B" w:rsidP="002E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9B" w:rsidRDefault="002E279B">
    <w:pPr>
      <w:pStyle w:val="Header"/>
    </w:pPr>
    <w:r>
      <w:rPr>
        <w:rFonts w:ascii="Verdana" w:hAnsi="Verdana"/>
        <w:noProof/>
        <w:sz w:val="18"/>
        <w:szCs w:val="18"/>
      </w:rPr>
      <w:drawing>
        <wp:inline distT="0" distB="0" distL="0" distR="0">
          <wp:extent cx="6858000" cy="1031443"/>
          <wp:effectExtent l="0" t="0" r="0" b="0"/>
          <wp:docPr id="1" name="Picture 1" descr="http://www.centerii.org/SchoolRestructuring/LogoImage/X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 descr="http://www.centerii.org/SchoolRestructuring/LogoImage/XX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314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31"/>
    <w:rsid w:val="002E279B"/>
    <w:rsid w:val="004112AF"/>
    <w:rsid w:val="006E1631"/>
    <w:rsid w:val="009F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31"/>
    <w:rPr>
      <w:rFonts w:ascii="Tahoma" w:hAnsi="Tahoma" w:cs="Tahoma"/>
      <w:sz w:val="16"/>
      <w:szCs w:val="16"/>
    </w:rPr>
  </w:style>
  <w:style w:type="paragraph" w:styleId="Header">
    <w:name w:val="header"/>
    <w:basedOn w:val="Normal"/>
    <w:link w:val="HeaderChar"/>
    <w:uiPriority w:val="99"/>
    <w:unhideWhenUsed/>
    <w:rsid w:val="002E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9B"/>
  </w:style>
  <w:style w:type="paragraph" w:styleId="Footer">
    <w:name w:val="footer"/>
    <w:basedOn w:val="Normal"/>
    <w:link w:val="FooterChar"/>
    <w:uiPriority w:val="99"/>
    <w:unhideWhenUsed/>
    <w:rsid w:val="002E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31"/>
    <w:rPr>
      <w:rFonts w:ascii="Tahoma" w:hAnsi="Tahoma" w:cs="Tahoma"/>
      <w:sz w:val="16"/>
      <w:szCs w:val="16"/>
    </w:rPr>
  </w:style>
  <w:style w:type="paragraph" w:styleId="Header">
    <w:name w:val="header"/>
    <w:basedOn w:val="Normal"/>
    <w:link w:val="HeaderChar"/>
    <w:uiPriority w:val="99"/>
    <w:unhideWhenUsed/>
    <w:rsid w:val="002E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9B"/>
  </w:style>
  <w:style w:type="paragraph" w:styleId="Footer">
    <w:name w:val="footer"/>
    <w:basedOn w:val="Normal"/>
    <w:link w:val="FooterChar"/>
    <w:uiPriority w:val="99"/>
    <w:unhideWhenUsed/>
    <w:rsid w:val="002E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Academic Development Institute</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Benedict</dc:creator>
  <cp:lastModifiedBy>Stephanie Benedict</cp:lastModifiedBy>
  <cp:revision>2</cp:revision>
  <cp:lastPrinted>2013-01-04T14:30:00Z</cp:lastPrinted>
  <dcterms:created xsi:type="dcterms:W3CDTF">2013-01-04T14:24:00Z</dcterms:created>
  <dcterms:modified xsi:type="dcterms:W3CDTF">2013-02-21T17:56:00Z</dcterms:modified>
</cp:coreProperties>
</file>